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4A0B" w14:textId="77777777" w:rsidR="00564898" w:rsidRDefault="00000000">
      <w:pPr>
        <w:spacing w:before="80"/>
        <w:ind w:left="1218"/>
        <w:rPr>
          <w:rFonts w:ascii="Arial" w:hAnsi="Arial"/>
          <w:i/>
          <w:sz w:val="23"/>
        </w:rPr>
      </w:pPr>
      <w:r>
        <w:rPr>
          <w:rFonts w:ascii="Arial" w:hAnsi="Arial"/>
          <w:i/>
          <w:color w:val="3D3D3D"/>
          <w:w w:val="95"/>
          <w:sz w:val="23"/>
        </w:rPr>
        <w:t>BIEGŁY SĄDOWY</w:t>
      </w:r>
    </w:p>
    <w:p w14:paraId="48EB58D8" w14:textId="77777777" w:rsidR="00564898" w:rsidRDefault="00000000">
      <w:pPr>
        <w:spacing w:before="17" w:line="249" w:lineRule="auto"/>
        <w:ind w:left="769" w:right="34" w:firstLine="385"/>
        <w:rPr>
          <w:rFonts w:ascii="Arial" w:hAnsi="Arial"/>
          <w:i/>
          <w:sz w:val="23"/>
        </w:rPr>
      </w:pPr>
      <w:r>
        <w:rPr>
          <w:rFonts w:ascii="Arial" w:hAnsi="Arial"/>
          <w:i/>
          <w:color w:val="3D3D3D"/>
          <w:w w:val="95"/>
          <w:sz w:val="23"/>
        </w:rPr>
        <w:t xml:space="preserve">mgr </w:t>
      </w:r>
      <w:r>
        <w:rPr>
          <w:rFonts w:ascii="Arial" w:hAnsi="Arial"/>
          <w:i/>
          <w:color w:val="2F2F2F"/>
          <w:w w:val="95"/>
          <w:sz w:val="23"/>
        </w:rPr>
        <w:t xml:space="preserve">inż. </w:t>
      </w:r>
      <w:r>
        <w:rPr>
          <w:rFonts w:ascii="Arial" w:hAnsi="Arial"/>
          <w:i/>
          <w:color w:val="3D3D3D"/>
          <w:w w:val="95"/>
          <w:sz w:val="23"/>
        </w:rPr>
        <w:t xml:space="preserve">Jerzy Bednarz </w:t>
      </w:r>
      <w:r>
        <w:rPr>
          <w:rFonts w:ascii="Arial" w:hAnsi="Arial"/>
          <w:i/>
          <w:color w:val="3D3D3D"/>
          <w:w w:val="90"/>
          <w:sz w:val="23"/>
        </w:rPr>
        <w:t>Radom</w:t>
      </w:r>
      <w:r>
        <w:rPr>
          <w:rFonts w:ascii="Arial" w:hAnsi="Arial"/>
          <w:i/>
          <w:color w:val="3D3D3D"/>
          <w:spacing w:val="12"/>
          <w:w w:val="90"/>
          <w:sz w:val="23"/>
        </w:rPr>
        <w:t xml:space="preserve"> </w:t>
      </w:r>
      <w:r>
        <w:rPr>
          <w:rFonts w:ascii="Arial" w:hAnsi="Arial"/>
          <w:i/>
          <w:color w:val="3D3D3D"/>
          <w:w w:val="90"/>
          <w:sz w:val="23"/>
        </w:rPr>
        <w:t>ul.</w:t>
      </w:r>
      <w:r>
        <w:rPr>
          <w:rFonts w:ascii="Arial" w:hAnsi="Arial"/>
          <w:i/>
          <w:color w:val="3D3D3D"/>
          <w:spacing w:val="-24"/>
          <w:w w:val="90"/>
          <w:sz w:val="23"/>
        </w:rPr>
        <w:t xml:space="preserve"> </w:t>
      </w:r>
      <w:r>
        <w:rPr>
          <w:rFonts w:ascii="Arial" w:hAnsi="Arial"/>
          <w:i/>
          <w:color w:val="3D3D3D"/>
          <w:w w:val="90"/>
          <w:sz w:val="23"/>
        </w:rPr>
        <w:t>Żwirki</w:t>
      </w:r>
      <w:r>
        <w:rPr>
          <w:rFonts w:ascii="Arial" w:hAnsi="Arial"/>
          <w:i/>
          <w:color w:val="3D3D3D"/>
          <w:spacing w:val="-25"/>
          <w:w w:val="90"/>
          <w:sz w:val="23"/>
        </w:rPr>
        <w:t xml:space="preserve"> </w:t>
      </w:r>
      <w:r>
        <w:rPr>
          <w:rFonts w:ascii="Arial" w:hAnsi="Arial"/>
          <w:i/>
          <w:color w:val="3D3D3D"/>
          <w:w w:val="90"/>
          <w:sz w:val="23"/>
        </w:rPr>
        <w:t>i</w:t>
      </w:r>
      <w:r>
        <w:rPr>
          <w:rFonts w:ascii="Arial" w:hAnsi="Arial"/>
          <w:i/>
          <w:color w:val="3D3D3D"/>
          <w:spacing w:val="-26"/>
          <w:w w:val="90"/>
          <w:sz w:val="23"/>
        </w:rPr>
        <w:t xml:space="preserve"> </w:t>
      </w:r>
      <w:r>
        <w:rPr>
          <w:rFonts w:ascii="Arial" w:hAnsi="Arial"/>
          <w:i/>
          <w:color w:val="3D3D3D"/>
          <w:w w:val="90"/>
          <w:sz w:val="23"/>
        </w:rPr>
        <w:t>Wigury</w:t>
      </w:r>
      <w:r>
        <w:rPr>
          <w:rFonts w:ascii="Arial" w:hAnsi="Arial"/>
          <w:i/>
          <w:color w:val="3D3D3D"/>
          <w:spacing w:val="-15"/>
          <w:w w:val="90"/>
          <w:sz w:val="23"/>
        </w:rPr>
        <w:t xml:space="preserve"> </w:t>
      </w:r>
      <w:r>
        <w:rPr>
          <w:rFonts w:ascii="Arial" w:hAnsi="Arial"/>
          <w:i/>
          <w:color w:val="3D3D3D"/>
          <w:w w:val="90"/>
          <w:sz w:val="23"/>
        </w:rPr>
        <w:t>40/41</w:t>
      </w:r>
    </w:p>
    <w:p w14:paraId="07BC2FF0" w14:textId="77777777" w:rsidR="00564898" w:rsidRDefault="00000000">
      <w:pPr>
        <w:spacing w:before="87"/>
        <w:ind w:left="769"/>
        <w:rPr>
          <w:rFonts w:ascii="Arial"/>
          <w:i/>
          <w:sz w:val="23"/>
        </w:rPr>
      </w:pPr>
      <w:r>
        <w:br w:type="column"/>
      </w:r>
      <w:r>
        <w:rPr>
          <w:rFonts w:ascii="Arial"/>
          <w:i/>
          <w:color w:val="3D3D3D"/>
          <w:w w:val="95"/>
          <w:sz w:val="23"/>
        </w:rPr>
        <w:t>Radom, 22.11.2024</w:t>
      </w:r>
    </w:p>
    <w:p w14:paraId="5987B904" w14:textId="77777777" w:rsidR="00564898" w:rsidRDefault="00564898">
      <w:pPr>
        <w:rPr>
          <w:rFonts w:ascii="Arial"/>
          <w:sz w:val="23"/>
        </w:rPr>
        <w:sectPr w:rsidR="00564898">
          <w:type w:val="continuous"/>
          <w:pgSz w:w="11910" w:h="16840"/>
          <w:pgMar w:top="960" w:right="820" w:bottom="280" w:left="980" w:header="708" w:footer="708" w:gutter="0"/>
          <w:cols w:num="2" w:space="708" w:equalWidth="0">
            <w:col w:w="3667" w:space="2431"/>
            <w:col w:w="4012"/>
          </w:cols>
        </w:sectPr>
      </w:pPr>
    </w:p>
    <w:p w14:paraId="46D1BC73" w14:textId="77777777" w:rsidR="00564898" w:rsidRDefault="00564898">
      <w:pPr>
        <w:pStyle w:val="Tekstpodstawowy"/>
        <w:rPr>
          <w:rFonts w:ascii="Arial"/>
          <w:sz w:val="20"/>
        </w:rPr>
      </w:pPr>
    </w:p>
    <w:p w14:paraId="77375420" w14:textId="77777777" w:rsidR="00564898" w:rsidRDefault="00564898">
      <w:pPr>
        <w:pStyle w:val="Tekstpodstawowy"/>
        <w:rPr>
          <w:rFonts w:ascii="Arial"/>
          <w:sz w:val="20"/>
        </w:rPr>
      </w:pPr>
    </w:p>
    <w:p w14:paraId="20A3535A" w14:textId="77777777" w:rsidR="00564898" w:rsidRDefault="00564898">
      <w:pPr>
        <w:pStyle w:val="Tekstpodstawowy"/>
        <w:rPr>
          <w:rFonts w:ascii="Arial"/>
          <w:sz w:val="20"/>
        </w:rPr>
      </w:pPr>
    </w:p>
    <w:p w14:paraId="34C163C3" w14:textId="77777777" w:rsidR="00564898" w:rsidRDefault="00564898">
      <w:pPr>
        <w:pStyle w:val="Tekstpodstawowy"/>
        <w:spacing w:before="8"/>
        <w:rPr>
          <w:rFonts w:ascii="Arial"/>
          <w:sz w:val="16"/>
        </w:rPr>
      </w:pPr>
    </w:p>
    <w:p w14:paraId="7A1CEEED" w14:textId="77777777" w:rsidR="00564898" w:rsidRDefault="00000000">
      <w:pPr>
        <w:spacing w:before="89"/>
        <w:ind w:left="281" w:right="1042"/>
        <w:jc w:val="center"/>
        <w:rPr>
          <w:b/>
          <w:sz w:val="27"/>
        </w:rPr>
      </w:pPr>
      <w:r>
        <w:rPr>
          <w:b/>
          <w:color w:val="3D3D3D"/>
          <w:w w:val="105"/>
          <w:sz w:val="27"/>
        </w:rPr>
        <w:t>ZAWIADOMIENIE</w:t>
      </w:r>
    </w:p>
    <w:p w14:paraId="4306F80D" w14:textId="77777777" w:rsidR="00564898" w:rsidRDefault="00000000">
      <w:pPr>
        <w:spacing w:before="173"/>
        <w:ind w:left="307" w:right="1042"/>
        <w:jc w:val="center"/>
        <w:rPr>
          <w:sz w:val="27"/>
        </w:rPr>
      </w:pPr>
      <w:r>
        <w:rPr>
          <w:color w:val="3D3D3D"/>
          <w:w w:val="105"/>
          <w:sz w:val="27"/>
        </w:rPr>
        <w:t>o czynnościach ustalenia przebiegu granic</w:t>
      </w:r>
    </w:p>
    <w:p w14:paraId="7D66F199" w14:textId="77777777" w:rsidR="00564898" w:rsidRDefault="00564898">
      <w:pPr>
        <w:rPr>
          <w:sz w:val="30"/>
        </w:rPr>
      </w:pPr>
    </w:p>
    <w:p w14:paraId="714F637B" w14:textId="77777777" w:rsidR="00564898" w:rsidRDefault="00564898">
      <w:pPr>
        <w:spacing w:before="10"/>
        <w:rPr>
          <w:sz w:val="24"/>
        </w:rPr>
      </w:pPr>
    </w:p>
    <w:p w14:paraId="0DA84AEA" w14:textId="77777777" w:rsidR="00564898" w:rsidRDefault="00000000">
      <w:pPr>
        <w:tabs>
          <w:tab w:val="left" w:pos="2702"/>
        </w:tabs>
        <w:spacing w:line="374" w:lineRule="auto"/>
        <w:ind w:left="133" w:right="116" w:firstLine="15"/>
        <w:jc w:val="both"/>
        <w:rPr>
          <w:b/>
          <w:sz w:val="25"/>
        </w:rPr>
      </w:pPr>
      <w:r>
        <w:rPr>
          <w:color w:val="3D3D3D"/>
          <w:w w:val="105"/>
          <w:sz w:val="25"/>
        </w:rPr>
        <w:t>Działając na podstawie zlecenia Sądu Rejonowego w Grójcu w sprawie I Ns 309</w:t>
      </w:r>
      <w:r>
        <w:rPr>
          <w:color w:val="6E6E6E"/>
          <w:w w:val="105"/>
          <w:sz w:val="25"/>
        </w:rPr>
        <w:t>/</w:t>
      </w:r>
      <w:r>
        <w:rPr>
          <w:color w:val="3D3D3D"/>
          <w:w w:val="105"/>
          <w:sz w:val="25"/>
        </w:rPr>
        <w:t xml:space="preserve">21 oraz na podstawie §31 i §32 rozporządzenia Ministra Rozwoju Pracy i Technologii </w:t>
      </w:r>
      <w:r>
        <w:rPr>
          <w:color w:val="4D4D4D"/>
          <w:w w:val="105"/>
          <w:sz w:val="25"/>
        </w:rPr>
        <w:t xml:space="preserve">z </w:t>
      </w:r>
      <w:r>
        <w:rPr>
          <w:color w:val="3D3D3D"/>
          <w:w w:val="105"/>
          <w:sz w:val="25"/>
        </w:rPr>
        <w:t xml:space="preserve">dnia 27 lipca 2021 r. </w:t>
      </w:r>
      <w:r>
        <w:rPr>
          <w:i/>
          <w:color w:val="3D3D3D"/>
          <w:w w:val="105"/>
          <w:sz w:val="25"/>
        </w:rPr>
        <w:t xml:space="preserve">w sprawie ewidencji gruntów i budynków </w:t>
      </w:r>
      <w:r>
        <w:rPr>
          <w:color w:val="3D3D3D"/>
          <w:w w:val="105"/>
          <w:sz w:val="25"/>
        </w:rPr>
        <w:t xml:space="preserve">(Dz. U. z 2024 r., poz. 219) </w:t>
      </w:r>
      <w:r>
        <w:rPr>
          <w:color w:val="4D4D4D"/>
          <w:w w:val="105"/>
          <w:sz w:val="25"/>
        </w:rPr>
        <w:t xml:space="preserve">zawiadamiam, </w:t>
      </w:r>
      <w:r>
        <w:rPr>
          <w:color w:val="3D3D3D"/>
          <w:w w:val="105"/>
          <w:sz w:val="25"/>
        </w:rPr>
        <w:t xml:space="preserve">że w dniu </w:t>
      </w:r>
      <w:r>
        <w:rPr>
          <w:b/>
          <w:color w:val="3D3D3D"/>
          <w:w w:val="105"/>
          <w:sz w:val="25"/>
        </w:rPr>
        <w:t xml:space="preserve">18.12.2024 r. o godz. 10.30 w </w:t>
      </w:r>
      <w:r>
        <w:rPr>
          <w:b/>
          <w:color w:val="4D4D4D"/>
          <w:w w:val="105"/>
          <w:sz w:val="25"/>
        </w:rPr>
        <w:t xml:space="preserve">Gośniewicach </w:t>
      </w:r>
      <w:r>
        <w:rPr>
          <w:b/>
          <w:color w:val="3D3D3D"/>
          <w:w w:val="105"/>
          <w:sz w:val="25"/>
        </w:rPr>
        <w:t xml:space="preserve">gmina Warka </w:t>
      </w:r>
      <w:r>
        <w:rPr>
          <w:color w:val="4D4D4D"/>
          <w:w w:val="105"/>
          <w:sz w:val="25"/>
        </w:rPr>
        <w:t xml:space="preserve">(Gośniewice </w:t>
      </w:r>
      <w:r>
        <w:rPr>
          <w:color w:val="3D3D3D"/>
          <w:w w:val="105"/>
          <w:sz w:val="25"/>
        </w:rPr>
        <w:t xml:space="preserve">47) odbędzie się ustalenie przebiegu granic nieruchomości położonych w </w:t>
      </w:r>
      <w:r>
        <w:rPr>
          <w:color w:val="4D4D4D"/>
          <w:w w:val="105"/>
          <w:sz w:val="25"/>
        </w:rPr>
        <w:t xml:space="preserve">Gośniewicach, </w:t>
      </w:r>
      <w:r>
        <w:rPr>
          <w:color w:val="3D3D3D"/>
          <w:w w:val="105"/>
          <w:sz w:val="25"/>
        </w:rPr>
        <w:t>oznaczonych</w:t>
      </w:r>
      <w:r>
        <w:rPr>
          <w:color w:val="3D3D3D"/>
          <w:w w:val="105"/>
          <w:sz w:val="25"/>
        </w:rPr>
        <w:tab/>
        <w:t xml:space="preserve">w ewidencji gruntów i budynków </w:t>
      </w:r>
      <w:r>
        <w:rPr>
          <w:color w:val="4D4D4D"/>
          <w:w w:val="105"/>
          <w:sz w:val="25"/>
        </w:rPr>
        <w:t xml:space="preserve">jako </w:t>
      </w:r>
      <w:r>
        <w:rPr>
          <w:color w:val="3D3D3D"/>
          <w:w w:val="105"/>
          <w:sz w:val="25"/>
        </w:rPr>
        <w:t xml:space="preserve">działka nr </w:t>
      </w:r>
      <w:r>
        <w:rPr>
          <w:b/>
          <w:color w:val="3D3D3D"/>
          <w:w w:val="105"/>
          <w:sz w:val="25"/>
        </w:rPr>
        <w:t xml:space="preserve">137 </w:t>
      </w:r>
      <w:r>
        <w:rPr>
          <w:color w:val="4D4D4D"/>
          <w:w w:val="105"/>
          <w:sz w:val="25"/>
        </w:rPr>
        <w:t xml:space="preserve">z </w:t>
      </w:r>
      <w:r>
        <w:rPr>
          <w:color w:val="3D3D3D"/>
          <w:w w:val="105"/>
          <w:sz w:val="25"/>
        </w:rPr>
        <w:t xml:space="preserve">działkami sąsiednimi </w:t>
      </w:r>
      <w:r>
        <w:rPr>
          <w:b/>
          <w:color w:val="4D4D4D"/>
          <w:w w:val="105"/>
          <w:sz w:val="25"/>
        </w:rPr>
        <w:t>136, 139/1, 115,</w:t>
      </w:r>
      <w:r>
        <w:rPr>
          <w:b/>
          <w:color w:val="4D4D4D"/>
          <w:spacing w:val="-12"/>
          <w:w w:val="105"/>
          <w:sz w:val="25"/>
        </w:rPr>
        <w:t xml:space="preserve"> </w:t>
      </w:r>
      <w:r>
        <w:rPr>
          <w:b/>
          <w:color w:val="3D3D3D"/>
          <w:w w:val="105"/>
          <w:sz w:val="25"/>
        </w:rPr>
        <w:t>158.</w:t>
      </w:r>
    </w:p>
    <w:p w14:paraId="0C4EB5C6" w14:textId="77777777" w:rsidR="00564898" w:rsidRDefault="00000000">
      <w:pPr>
        <w:pStyle w:val="Nagwek1"/>
        <w:spacing w:line="369" w:lineRule="auto"/>
        <w:ind w:left="136" w:right="143" w:firstLine="720"/>
      </w:pPr>
      <w:r>
        <w:rPr>
          <w:color w:val="3D3D3D"/>
          <w:w w:val="105"/>
        </w:rPr>
        <w:t>W związku z powyższym proszę właścicieli, posiadaczy, władających oraz osoby mogące wykazać swój tytuł prawny  do  wymienionych  nieruchomości  do wzięcia udziału w opisanych czynnościach ustalenia przebiegu</w:t>
      </w:r>
      <w:r>
        <w:rPr>
          <w:color w:val="3D3D3D"/>
          <w:spacing w:val="18"/>
          <w:w w:val="105"/>
        </w:rPr>
        <w:t xml:space="preserve"> </w:t>
      </w:r>
      <w:r>
        <w:rPr>
          <w:color w:val="3D3D3D"/>
          <w:w w:val="105"/>
        </w:rPr>
        <w:t>granic.</w:t>
      </w:r>
    </w:p>
    <w:p w14:paraId="42A01A56" w14:textId="77777777" w:rsidR="00564898" w:rsidRDefault="00000000">
      <w:pPr>
        <w:spacing w:before="13"/>
        <w:ind w:left="132"/>
        <w:jc w:val="both"/>
        <w:rPr>
          <w:sz w:val="25"/>
        </w:rPr>
      </w:pPr>
      <w:r>
        <w:rPr>
          <w:color w:val="3D3D3D"/>
          <w:w w:val="105"/>
          <w:sz w:val="25"/>
        </w:rPr>
        <w:t>Informuję</w:t>
      </w:r>
      <w:r>
        <w:rPr>
          <w:color w:val="6E6E6E"/>
          <w:w w:val="105"/>
          <w:sz w:val="25"/>
        </w:rPr>
        <w:t xml:space="preserve">, </w:t>
      </w:r>
      <w:r>
        <w:rPr>
          <w:color w:val="3D3D3D"/>
          <w:w w:val="105"/>
          <w:sz w:val="25"/>
        </w:rPr>
        <w:t>że zgodnie z§ 32 ust.2 p.3) powołanego rozporządzenia</w:t>
      </w:r>
      <w:r>
        <w:rPr>
          <w:color w:val="6E6E6E"/>
          <w:w w:val="105"/>
          <w:sz w:val="25"/>
        </w:rPr>
        <w:t>:</w:t>
      </w:r>
    </w:p>
    <w:p w14:paraId="131F31EE" w14:textId="77777777" w:rsidR="00564898" w:rsidRDefault="00000000">
      <w:pPr>
        <w:pStyle w:val="Akapitzlist"/>
        <w:numPr>
          <w:ilvl w:val="0"/>
          <w:numId w:val="1"/>
        </w:numPr>
        <w:tabs>
          <w:tab w:val="left" w:pos="1034"/>
        </w:tabs>
        <w:spacing w:before="167" w:line="374" w:lineRule="auto"/>
        <w:ind w:firstLine="715"/>
        <w:rPr>
          <w:i/>
          <w:sz w:val="25"/>
        </w:rPr>
      </w:pPr>
      <w:r>
        <w:rPr>
          <w:i/>
          <w:color w:val="3D3D3D"/>
          <w:w w:val="105"/>
          <w:sz w:val="25"/>
        </w:rPr>
        <w:t>osoba biorąca udział w czynnościach powinna posiadać dokument umożliwiający ustalenie tożsamości oraz dokumenty pozwalające na stwierdzenie tytułu prawnego do wymienionych</w:t>
      </w:r>
      <w:r>
        <w:rPr>
          <w:i/>
          <w:color w:val="3D3D3D"/>
          <w:spacing w:val="18"/>
          <w:w w:val="105"/>
          <w:sz w:val="25"/>
        </w:rPr>
        <w:t xml:space="preserve"> </w:t>
      </w:r>
      <w:r>
        <w:rPr>
          <w:i/>
          <w:color w:val="3D3D3D"/>
          <w:w w:val="105"/>
          <w:sz w:val="25"/>
        </w:rPr>
        <w:t>nieruchomości</w:t>
      </w:r>
    </w:p>
    <w:p w14:paraId="2ECB4563" w14:textId="77777777" w:rsidR="00564898" w:rsidRDefault="00000000">
      <w:pPr>
        <w:pStyle w:val="Akapitzlist"/>
        <w:numPr>
          <w:ilvl w:val="0"/>
          <w:numId w:val="1"/>
        </w:numPr>
        <w:tabs>
          <w:tab w:val="left" w:pos="1015"/>
        </w:tabs>
        <w:spacing w:line="374" w:lineRule="auto"/>
        <w:ind w:left="119" w:right="152" w:firstLine="716"/>
        <w:rPr>
          <w:i/>
          <w:sz w:val="25"/>
        </w:rPr>
      </w:pPr>
      <w:r>
        <w:rPr>
          <w:i/>
          <w:color w:val="3D3D3D"/>
          <w:w w:val="105"/>
          <w:sz w:val="25"/>
        </w:rPr>
        <w:t xml:space="preserve">nieusprawiedliwione niewzięcie udziału w czynnościach ustalenia przebiegu </w:t>
      </w:r>
      <w:r>
        <w:rPr>
          <w:i/>
          <w:color w:val="4D4D4D"/>
          <w:w w:val="105"/>
          <w:sz w:val="25"/>
        </w:rPr>
        <w:t>granic</w:t>
      </w:r>
      <w:r>
        <w:rPr>
          <w:i/>
          <w:color w:val="3D3D3D"/>
          <w:w w:val="105"/>
          <w:sz w:val="25"/>
        </w:rPr>
        <w:t xml:space="preserve"> nie stanowi przeszkody do ich</w:t>
      </w:r>
      <w:r>
        <w:rPr>
          <w:i/>
          <w:color w:val="3D3D3D"/>
          <w:spacing w:val="-2"/>
          <w:w w:val="105"/>
          <w:sz w:val="25"/>
        </w:rPr>
        <w:t xml:space="preserve"> </w:t>
      </w:r>
      <w:r>
        <w:rPr>
          <w:i/>
          <w:color w:val="3D3D3D"/>
          <w:w w:val="105"/>
          <w:sz w:val="25"/>
        </w:rPr>
        <w:t>przeprowadzenia.</w:t>
      </w:r>
    </w:p>
    <w:p w14:paraId="4731BD35" w14:textId="77777777" w:rsidR="00564898" w:rsidRDefault="00564898">
      <w:pPr>
        <w:spacing w:before="3"/>
        <w:rPr>
          <w:i/>
          <w:sz w:val="39"/>
        </w:rPr>
      </w:pPr>
    </w:p>
    <w:p w14:paraId="5A3476B7" w14:textId="77777777" w:rsidR="00564898" w:rsidRDefault="00000000">
      <w:pPr>
        <w:pStyle w:val="Tekstpodstawowy"/>
        <w:spacing w:before="1"/>
        <w:ind w:left="2274" w:right="406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077272" wp14:editId="2CBE3909">
            <wp:simplePos x="0" y="0"/>
            <wp:positionH relativeFrom="page">
              <wp:posOffset>4546399</wp:posOffset>
            </wp:positionH>
            <wp:positionV relativeFrom="paragraph">
              <wp:posOffset>240439</wp:posOffset>
            </wp:positionV>
            <wp:extent cx="992826" cy="3886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26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Jerzy Bednarz</w:t>
      </w:r>
    </w:p>
    <w:p w14:paraId="29BB29DE" w14:textId="77777777" w:rsidR="00564898" w:rsidRDefault="00564898">
      <w:pPr>
        <w:spacing w:before="10"/>
        <w:rPr>
          <w:i/>
          <w:sz w:val="14"/>
        </w:rPr>
      </w:pPr>
    </w:p>
    <w:p w14:paraId="0C41E5E5" w14:textId="679039B1" w:rsidR="00564898" w:rsidRDefault="00000000">
      <w:pPr>
        <w:spacing w:before="91" w:line="241" w:lineRule="exact"/>
        <w:ind w:left="6181" w:right="1035"/>
        <w:jc w:val="center"/>
        <w:rPr>
          <w:b/>
          <w:sz w:val="23"/>
        </w:rPr>
      </w:pPr>
      <w:r>
        <w:rPr>
          <w:b/>
          <w:color w:val="6E97E1"/>
          <w:sz w:val="23"/>
        </w:rPr>
        <w:t>BI</w:t>
      </w:r>
      <w:r>
        <w:rPr>
          <w:b/>
          <w:color w:val="5282DD"/>
          <w:sz w:val="23"/>
        </w:rPr>
        <w:t>E</w:t>
      </w:r>
      <w:r w:rsidR="001633E9">
        <w:rPr>
          <w:b/>
          <w:color w:val="5282DD"/>
          <w:sz w:val="23"/>
        </w:rPr>
        <w:t>GŁ</w:t>
      </w:r>
      <w:r>
        <w:rPr>
          <w:b/>
          <w:color w:val="6E97E1"/>
          <w:sz w:val="23"/>
        </w:rPr>
        <w:t xml:space="preserve">Y </w:t>
      </w:r>
      <w:r w:rsidR="001633E9">
        <w:rPr>
          <w:b/>
          <w:color w:val="5282DD"/>
          <w:sz w:val="23"/>
        </w:rPr>
        <w:t>SĄDO</w:t>
      </w:r>
      <w:r>
        <w:rPr>
          <w:b/>
          <w:color w:val="5282DD"/>
          <w:sz w:val="23"/>
        </w:rPr>
        <w:t>W</w:t>
      </w:r>
      <w:r>
        <w:rPr>
          <w:b/>
          <w:color w:val="6E97E1"/>
          <w:sz w:val="23"/>
        </w:rPr>
        <w:t>Y</w:t>
      </w:r>
    </w:p>
    <w:p w14:paraId="571D372A" w14:textId="77777777" w:rsidR="00564898" w:rsidRDefault="00000000">
      <w:pPr>
        <w:spacing w:line="171" w:lineRule="exact"/>
        <w:ind w:left="6173" w:right="1042"/>
        <w:jc w:val="center"/>
        <w:rPr>
          <w:sz w:val="19"/>
        </w:rPr>
      </w:pPr>
      <w:r>
        <w:rPr>
          <w:rFonts w:ascii="Arial"/>
          <w:color w:val="5282DD"/>
          <w:w w:val="105"/>
          <w:sz w:val="17"/>
        </w:rPr>
        <w:t xml:space="preserve">w  </w:t>
      </w:r>
      <w:r>
        <w:rPr>
          <w:color w:val="5282DD"/>
          <w:w w:val="105"/>
          <w:sz w:val="19"/>
        </w:rPr>
        <w:t>zakresie geodezji</w:t>
      </w:r>
    </w:p>
    <w:p w14:paraId="16DA3036" w14:textId="264D0A17" w:rsidR="00564898" w:rsidRDefault="00000000">
      <w:pPr>
        <w:spacing w:line="247" w:lineRule="exact"/>
        <w:ind w:left="6154" w:right="1042"/>
        <w:jc w:val="center"/>
        <w:rPr>
          <w:i/>
          <w:sz w:val="24"/>
        </w:rPr>
      </w:pPr>
      <w:r>
        <w:rPr>
          <w:i/>
          <w:color w:val="5282DD"/>
          <w:w w:val="105"/>
          <w:sz w:val="24"/>
        </w:rPr>
        <w:t xml:space="preserve">mgr inż </w:t>
      </w:r>
      <w:r>
        <w:rPr>
          <w:i/>
          <w:color w:val="8CB1FF"/>
          <w:w w:val="105"/>
          <w:sz w:val="24"/>
        </w:rPr>
        <w:t xml:space="preserve">. </w:t>
      </w:r>
      <w:r>
        <w:rPr>
          <w:i/>
          <w:color w:val="5282DD"/>
          <w:w w:val="105"/>
          <w:sz w:val="24"/>
        </w:rPr>
        <w:t>Je</w:t>
      </w:r>
      <w:r w:rsidR="001633E9">
        <w:rPr>
          <w:i/>
          <w:color w:val="5282DD"/>
          <w:w w:val="105"/>
          <w:sz w:val="24"/>
        </w:rPr>
        <w:t>rz</w:t>
      </w:r>
      <w:r>
        <w:rPr>
          <w:i/>
          <w:color w:val="5282DD"/>
          <w:w w:val="105"/>
          <w:sz w:val="24"/>
        </w:rPr>
        <w:t>y B</w:t>
      </w:r>
      <w:r>
        <w:rPr>
          <w:i/>
          <w:color w:val="6E97E1"/>
          <w:w w:val="105"/>
          <w:sz w:val="24"/>
        </w:rPr>
        <w:t>e</w:t>
      </w:r>
      <w:r>
        <w:rPr>
          <w:i/>
          <w:color w:val="5282DD"/>
          <w:w w:val="105"/>
          <w:sz w:val="24"/>
        </w:rPr>
        <w:t>dnarz</w:t>
      </w:r>
    </w:p>
    <w:p w14:paraId="4B7834F3" w14:textId="77777777" w:rsidR="00564898" w:rsidRDefault="00000000">
      <w:pPr>
        <w:spacing w:line="181" w:lineRule="exact"/>
        <w:ind w:left="6159" w:right="1042"/>
        <w:jc w:val="center"/>
        <w:rPr>
          <w:rFonts w:ascii="Arial"/>
          <w:sz w:val="17"/>
        </w:rPr>
      </w:pPr>
      <w:r>
        <w:rPr>
          <w:rFonts w:ascii="Arial"/>
          <w:color w:val="5282DD"/>
          <w:w w:val="105"/>
          <w:sz w:val="17"/>
        </w:rPr>
        <w:t xml:space="preserve">upr.  </w:t>
      </w:r>
      <w:r>
        <w:rPr>
          <w:rFonts w:ascii="Arial"/>
          <w:color w:val="6E97E1"/>
          <w:w w:val="105"/>
          <w:sz w:val="17"/>
        </w:rPr>
        <w:t>nr</w:t>
      </w:r>
      <w:r>
        <w:rPr>
          <w:rFonts w:ascii="Arial"/>
          <w:color w:val="8E95AF"/>
          <w:w w:val="105"/>
          <w:sz w:val="17"/>
        </w:rPr>
        <w:t xml:space="preserve">: </w:t>
      </w:r>
      <w:r>
        <w:rPr>
          <w:rFonts w:ascii="Arial"/>
          <w:color w:val="6E97E1"/>
          <w:w w:val="105"/>
          <w:sz w:val="17"/>
        </w:rPr>
        <w:t>1</w:t>
      </w:r>
      <w:r>
        <w:rPr>
          <w:rFonts w:ascii="Arial"/>
          <w:color w:val="5282DD"/>
          <w:w w:val="105"/>
          <w:sz w:val="17"/>
        </w:rPr>
        <w:t>6036</w:t>
      </w:r>
    </w:p>
    <w:p w14:paraId="5D9423FE" w14:textId="77777777" w:rsidR="00564898" w:rsidRDefault="00000000">
      <w:pPr>
        <w:spacing w:line="174" w:lineRule="exact"/>
        <w:ind w:left="6181" w:right="1042"/>
        <w:jc w:val="center"/>
        <w:rPr>
          <w:rFonts w:ascii="Arial" w:hAnsi="Arial"/>
          <w:sz w:val="16"/>
        </w:rPr>
      </w:pPr>
      <w:r>
        <w:rPr>
          <w:rFonts w:ascii="Arial" w:hAnsi="Arial"/>
          <w:color w:val="5282DD"/>
          <w:sz w:val="16"/>
        </w:rPr>
        <w:t>26-600 Radom</w:t>
      </w:r>
      <w:r>
        <w:rPr>
          <w:rFonts w:ascii="Arial" w:hAnsi="Arial"/>
          <w:color w:val="93AADD"/>
          <w:sz w:val="16"/>
        </w:rPr>
        <w:t xml:space="preserve">, </w:t>
      </w:r>
      <w:r>
        <w:rPr>
          <w:rFonts w:ascii="Arial" w:hAnsi="Arial"/>
          <w:color w:val="5282DD"/>
          <w:sz w:val="16"/>
        </w:rPr>
        <w:t xml:space="preserve">ul. </w:t>
      </w:r>
      <w:r>
        <w:rPr>
          <w:rFonts w:ascii="Arial" w:hAnsi="Arial"/>
          <w:color w:val="6E97E1"/>
          <w:sz w:val="16"/>
        </w:rPr>
        <w:t>Ż</w:t>
      </w:r>
      <w:r>
        <w:rPr>
          <w:rFonts w:ascii="Arial" w:hAnsi="Arial"/>
          <w:color w:val="5282DD"/>
          <w:sz w:val="16"/>
        </w:rPr>
        <w:t xml:space="preserve">wirki </w:t>
      </w:r>
      <w:r>
        <w:rPr>
          <w:rFonts w:ascii="Arial" w:hAnsi="Arial"/>
          <w:color w:val="6E97E1"/>
          <w:sz w:val="16"/>
        </w:rPr>
        <w:t xml:space="preserve">i </w:t>
      </w:r>
      <w:r>
        <w:rPr>
          <w:rFonts w:ascii="Arial" w:hAnsi="Arial"/>
          <w:color w:val="5282DD"/>
          <w:sz w:val="16"/>
        </w:rPr>
        <w:t>Wigury 40/41</w:t>
      </w:r>
    </w:p>
    <w:p w14:paraId="1735BFB0" w14:textId="77777777" w:rsidR="00564898" w:rsidRDefault="00000000">
      <w:pPr>
        <w:spacing w:before="26"/>
        <w:ind w:right="2439"/>
        <w:jc w:val="center"/>
        <w:rPr>
          <w:rFonts w:ascii="Arial" w:hAnsi="Arial"/>
          <w:sz w:val="29"/>
        </w:rPr>
      </w:pPr>
      <w:r>
        <w:rPr>
          <w:rFonts w:ascii="Arial" w:hAnsi="Arial"/>
          <w:color w:val="BFBFBF"/>
          <w:w w:val="108"/>
          <w:sz w:val="29"/>
        </w:rPr>
        <w:t>•</w:t>
      </w:r>
    </w:p>
    <w:sectPr w:rsidR="00564898">
      <w:type w:val="continuous"/>
      <w:pgSz w:w="11910" w:h="16840"/>
      <w:pgMar w:top="960" w:right="8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2E53"/>
    <w:multiLevelType w:val="hybridMultilevel"/>
    <w:tmpl w:val="A2D0AE48"/>
    <w:lvl w:ilvl="0" w:tplc="B172031A">
      <w:numFmt w:val="bullet"/>
      <w:lvlText w:val="-"/>
      <w:lvlJc w:val="left"/>
      <w:pPr>
        <w:ind w:left="120" w:hanging="198"/>
      </w:pPr>
      <w:rPr>
        <w:rFonts w:ascii="Times New Roman" w:eastAsia="Times New Roman" w:hAnsi="Times New Roman" w:cs="Times New Roman" w:hint="default"/>
        <w:color w:val="3D3D3D"/>
        <w:w w:val="110"/>
        <w:sz w:val="25"/>
        <w:szCs w:val="25"/>
      </w:rPr>
    </w:lvl>
    <w:lvl w:ilvl="1" w:tplc="56AEA79A">
      <w:numFmt w:val="bullet"/>
      <w:lvlText w:val="•"/>
      <w:lvlJc w:val="left"/>
      <w:pPr>
        <w:ind w:left="1118" w:hanging="198"/>
      </w:pPr>
      <w:rPr>
        <w:rFonts w:hint="default"/>
      </w:rPr>
    </w:lvl>
    <w:lvl w:ilvl="2" w:tplc="2788178A">
      <w:numFmt w:val="bullet"/>
      <w:lvlText w:val="•"/>
      <w:lvlJc w:val="left"/>
      <w:pPr>
        <w:ind w:left="2116" w:hanging="198"/>
      </w:pPr>
      <w:rPr>
        <w:rFonts w:hint="default"/>
      </w:rPr>
    </w:lvl>
    <w:lvl w:ilvl="3" w:tplc="82D0D404">
      <w:numFmt w:val="bullet"/>
      <w:lvlText w:val="•"/>
      <w:lvlJc w:val="left"/>
      <w:pPr>
        <w:ind w:left="3114" w:hanging="198"/>
      </w:pPr>
      <w:rPr>
        <w:rFonts w:hint="default"/>
      </w:rPr>
    </w:lvl>
    <w:lvl w:ilvl="4" w:tplc="1F2C3246">
      <w:numFmt w:val="bullet"/>
      <w:lvlText w:val="•"/>
      <w:lvlJc w:val="left"/>
      <w:pPr>
        <w:ind w:left="4112" w:hanging="198"/>
      </w:pPr>
      <w:rPr>
        <w:rFonts w:hint="default"/>
      </w:rPr>
    </w:lvl>
    <w:lvl w:ilvl="5" w:tplc="ED7405C0">
      <w:numFmt w:val="bullet"/>
      <w:lvlText w:val="•"/>
      <w:lvlJc w:val="left"/>
      <w:pPr>
        <w:ind w:left="5110" w:hanging="198"/>
      </w:pPr>
      <w:rPr>
        <w:rFonts w:hint="default"/>
      </w:rPr>
    </w:lvl>
    <w:lvl w:ilvl="6" w:tplc="D71496B6">
      <w:numFmt w:val="bullet"/>
      <w:lvlText w:val="•"/>
      <w:lvlJc w:val="left"/>
      <w:pPr>
        <w:ind w:left="6108" w:hanging="198"/>
      </w:pPr>
      <w:rPr>
        <w:rFonts w:hint="default"/>
      </w:rPr>
    </w:lvl>
    <w:lvl w:ilvl="7" w:tplc="5678B40A">
      <w:numFmt w:val="bullet"/>
      <w:lvlText w:val="•"/>
      <w:lvlJc w:val="left"/>
      <w:pPr>
        <w:ind w:left="7107" w:hanging="198"/>
      </w:pPr>
      <w:rPr>
        <w:rFonts w:hint="default"/>
      </w:rPr>
    </w:lvl>
    <w:lvl w:ilvl="8" w:tplc="7B5E376E">
      <w:numFmt w:val="bullet"/>
      <w:lvlText w:val="•"/>
      <w:lvlJc w:val="left"/>
      <w:pPr>
        <w:ind w:left="8105" w:hanging="198"/>
      </w:pPr>
      <w:rPr>
        <w:rFonts w:hint="default"/>
      </w:rPr>
    </w:lvl>
  </w:abstractNum>
  <w:num w:numId="1" w16cid:durableId="55635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898"/>
    <w:rsid w:val="001633E9"/>
    <w:rsid w:val="00350E72"/>
    <w:rsid w:val="005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AAD"/>
  <w15:docId w15:val="{02D9A6AD-AE91-477F-88C8-F76103C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3"/>
      <w:ind w:left="132"/>
      <w:jc w:val="both"/>
      <w:outlineLvl w:val="0"/>
    </w:pPr>
    <w:rPr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5"/>
      <w:szCs w:val="25"/>
    </w:rPr>
  </w:style>
  <w:style w:type="paragraph" w:styleId="Akapitzlist">
    <w:name w:val="List Paragraph"/>
    <w:basedOn w:val="Normalny"/>
    <w:uiPriority w:val="1"/>
    <w:qFormat/>
    <w:pPr>
      <w:spacing w:before="3"/>
      <w:ind w:left="119" w:right="139" w:firstLine="71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Krawczyk</cp:lastModifiedBy>
  <cp:revision>2</cp:revision>
  <dcterms:created xsi:type="dcterms:W3CDTF">2024-11-28T07:49:00Z</dcterms:created>
  <dcterms:modified xsi:type="dcterms:W3CDTF">2024-11-28T07:54:00Z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KMBT_C220</vt:lpwstr>
  </property>
  <property fmtid="{D5CDD505-2E9C-101B-9397-08002B2CF9AE}" pid="4" name="LastSaved">
    <vt:filetime>2024-11-27T00:00:00Z</vt:filetime>
  </property>
</Properties>
</file>