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0C21" w14:textId="77777777" w:rsidR="00B46BB9" w:rsidRDefault="00B46BB9">
      <w:pPr>
        <w:pStyle w:val="Tekstpodstawowy"/>
        <w:rPr>
          <w:sz w:val="20"/>
        </w:rPr>
      </w:pPr>
    </w:p>
    <w:p w14:paraId="00EA1001" w14:textId="77777777" w:rsidR="00B46BB9" w:rsidRDefault="00B46BB9">
      <w:pPr>
        <w:pStyle w:val="Tekstpodstawowy"/>
        <w:rPr>
          <w:sz w:val="20"/>
        </w:rPr>
      </w:pPr>
    </w:p>
    <w:p w14:paraId="2E74AAD1" w14:textId="77777777" w:rsidR="00B46BB9" w:rsidRDefault="00B46BB9">
      <w:pPr>
        <w:pStyle w:val="Tekstpodstawowy"/>
        <w:rPr>
          <w:sz w:val="20"/>
        </w:rPr>
      </w:pPr>
    </w:p>
    <w:p w14:paraId="4CC9CD19" w14:textId="77777777" w:rsidR="00B46BB9" w:rsidRDefault="00B46BB9">
      <w:pPr>
        <w:pStyle w:val="Tekstpodstawowy"/>
        <w:rPr>
          <w:sz w:val="20"/>
        </w:rPr>
      </w:pPr>
    </w:p>
    <w:p w14:paraId="74CE0DC2" w14:textId="77777777" w:rsidR="00B46BB9" w:rsidRDefault="00B46BB9">
      <w:pPr>
        <w:pStyle w:val="Tekstpodstawowy"/>
        <w:rPr>
          <w:sz w:val="20"/>
        </w:rPr>
      </w:pPr>
    </w:p>
    <w:p w14:paraId="1FF2D38C" w14:textId="77777777" w:rsidR="00B46BB9" w:rsidRDefault="00B46BB9">
      <w:pPr>
        <w:rPr>
          <w:sz w:val="20"/>
        </w:rPr>
        <w:sectPr w:rsidR="00B46BB9">
          <w:type w:val="continuous"/>
          <w:pgSz w:w="11910" w:h="16830"/>
          <w:pgMar w:top="40" w:right="1460" w:bottom="280" w:left="0" w:header="708" w:footer="708" w:gutter="0"/>
          <w:cols w:space="708"/>
        </w:sectPr>
      </w:pPr>
    </w:p>
    <w:p w14:paraId="41AA764E" w14:textId="77777777" w:rsidR="00B46BB9" w:rsidRDefault="00B46BB9">
      <w:pPr>
        <w:pStyle w:val="Tekstpodstawowy"/>
        <w:spacing w:before="4"/>
        <w:rPr>
          <w:sz w:val="22"/>
        </w:rPr>
      </w:pPr>
    </w:p>
    <w:p w14:paraId="43895D03" w14:textId="77777777" w:rsidR="00B46BB9" w:rsidRDefault="00000000">
      <w:pPr>
        <w:spacing w:before="1"/>
        <w:ind w:left="2317"/>
        <w:rPr>
          <w:rFonts w:ascii="Arial" w:hAnsi="Arial"/>
          <w:i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4B0170" wp14:editId="3582E647">
            <wp:simplePos x="0" y="0"/>
            <wp:positionH relativeFrom="page">
              <wp:posOffset>0</wp:posOffset>
            </wp:positionH>
            <wp:positionV relativeFrom="paragraph">
              <wp:posOffset>-863256</wp:posOffset>
            </wp:positionV>
            <wp:extent cx="885345" cy="12205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45" cy="1220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1C1C1C"/>
          <w:w w:val="95"/>
          <w:sz w:val="23"/>
        </w:rPr>
        <w:t>BIEGŁY SĄDOWY</w:t>
      </w:r>
    </w:p>
    <w:p w14:paraId="07C20B4B" w14:textId="55895AB3" w:rsidR="00B46BB9" w:rsidRDefault="00000000">
      <w:pPr>
        <w:spacing w:before="9" w:line="252" w:lineRule="auto"/>
        <w:ind w:left="1883" w:right="-13" w:firstLine="373"/>
        <w:rPr>
          <w:rFonts w:ascii="Arial" w:hAnsi="Arial"/>
          <w:i/>
          <w:sz w:val="23"/>
        </w:rPr>
      </w:pPr>
      <w:r>
        <w:rPr>
          <w:rFonts w:ascii="Arial" w:hAnsi="Arial"/>
          <w:i/>
          <w:color w:val="1C1C1C"/>
          <w:w w:val="95"/>
          <w:sz w:val="23"/>
        </w:rPr>
        <w:t xml:space="preserve">mgr inż. Jerzy Bednarz </w:t>
      </w:r>
      <w:r>
        <w:rPr>
          <w:rFonts w:ascii="Arial" w:hAnsi="Arial"/>
          <w:i/>
          <w:color w:val="1C1C1C"/>
          <w:w w:val="90"/>
          <w:sz w:val="23"/>
        </w:rPr>
        <w:t>Radom</w:t>
      </w:r>
      <w:r>
        <w:rPr>
          <w:rFonts w:ascii="Arial" w:hAnsi="Arial"/>
          <w:i/>
          <w:color w:val="1C1C1C"/>
          <w:spacing w:val="-18"/>
          <w:w w:val="90"/>
          <w:sz w:val="23"/>
        </w:rPr>
        <w:t xml:space="preserve"> </w:t>
      </w:r>
      <w:r>
        <w:rPr>
          <w:rFonts w:ascii="Arial" w:hAnsi="Arial"/>
          <w:i/>
          <w:color w:val="1C1C1C"/>
          <w:w w:val="90"/>
          <w:sz w:val="23"/>
        </w:rPr>
        <w:t>ul.Żwirki</w:t>
      </w:r>
      <w:r w:rsidR="00DE7ADF">
        <w:rPr>
          <w:rFonts w:ascii="Arial" w:hAnsi="Arial"/>
          <w:i/>
          <w:color w:val="1C1C1C"/>
          <w:w w:val="90"/>
          <w:sz w:val="23"/>
        </w:rPr>
        <w:t xml:space="preserve"> </w:t>
      </w:r>
      <w:r>
        <w:rPr>
          <w:rFonts w:ascii="Arial" w:hAnsi="Arial"/>
          <w:i/>
          <w:color w:val="1C1C1C"/>
          <w:spacing w:val="-37"/>
          <w:w w:val="90"/>
          <w:sz w:val="23"/>
        </w:rPr>
        <w:t xml:space="preserve"> </w:t>
      </w:r>
      <w:r w:rsidR="00DE7ADF">
        <w:rPr>
          <w:rFonts w:ascii="Arial" w:hAnsi="Arial"/>
          <w:i/>
          <w:color w:val="1C1C1C"/>
          <w:w w:val="90"/>
          <w:sz w:val="23"/>
        </w:rPr>
        <w:t xml:space="preserve">i </w:t>
      </w:r>
      <w:r>
        <w:rPr>
          <w:rFonts w:ascii="Arial" w:hAnsi="Arial"/>
          <w:i/>
          <w:color w:val="1C1C1C"/>
          <w:spacing w:val="-41"/>
          <w:w w:val="90"/>
          <w:sz w:val="23"/>
        </w:rPr>
        <w:t xml:space="preserve"> </w:t>
      </w:r>
      <w:r>
        <w:rPr>
          <w:rFonts w:ascii="Arial" w:hAnsi="Arial"/>
          <w:i/>
          <w:color w:val="1C1C1C"/>
          <w:w w:val="90"/>
          <w:sz w:val="23"/>
        </w:rPr>
        <w:t>Wigury40</w:t>
      </w:r>
      <w:r w:rsidR="003E28E7">
        <w:rPr>
          <w:rFonts w:ascii="Arial" w:hAnsi="Arial"/>
          <w:i/>
          <w:color w:val="1C1C1C"/>
          <w:w w:val="90"/>
          <w:sz w:val="23"/>
        </w:rPr>
        <w:t>/</w:t>
      </w:r>
      <w:r>
        <w:rPr>
          <w:rFonts w:ascii="Arial" w:hAnsi="Arial"/>
          <w:i/>
          <w:color w:val="1C1C1C"/>
          <w:w w:val="90"/>
          <w:sz w:val="23"/>
        </w:rPr>
        <w:t>41</w:t>
      </w:r>
    </w:p>
    <w:p w14:paraId="3A37EF7F" w14:textId="77777777" w:rsidR="00B46BB9" w:rsidRDefault="00000000">
      <w:pPr>
        <w:pStyle w:val="Tekstpodstawowy"/>
        <w:spacing w:before="9"/>
        <w:rPr>
          <w:rFonts w:ascii="Arial"/>
          <w:i/>
          <w:sz w:val="22"/>
        </w:rPr>
      </w:pPr>
      <w:r>
        <w:br w:type="column"/>
      </w:r>
    </w:p>
    <w:p w14:paraId="0EEBBE45" w14:textId="77777777" w:rsidR="00B46BB9" w:rsidRDefault="00000000">
      <w:pPr>
        <w:rPr>
          <w:rFonts w:ascii="Arial"/>
          <w:i/>
          <w:sz w:val="23"/>
        </w:rPr>
      </w:pPr>
      <w:r>
        <w:rPr>
          <w:rFonts w:ascii="Arial"/>
          <w:i/>
          <w:color w:val="1C1C1C"/>
          <w:w w:val="95"/>
          <w:sz w:val="23"/>
        </w:rPr>
        <w:t>Radom, 24.02.2023</w:t>
      </w:r>
    </w:p>
    <w:p w14:paraId="04EF1C76" w14:textId="77777777" w:rsidR="00B46BB9" w:rsidRDefault="00B46BB9">
      <w:pPr>
        <w:rPr>
          <w:rFonts w:ascii="Arial"/>
          <w:sz w:val="23"/>
        </w:rPr>
        <w:sectPr w:rsidR="00B46BB9">
          <w:type w:val="continuous"/>
          <w:pgSz w:w="11910" w:h="16830"/>
          <w:pgMar w:top="40" w:right="1460" w:bottom="280" w:left="0" w:header="708" w:footer="708" w:gutter="0"/>
          <w:cols w:num="2" w:space="708" w:equalWidth="0">
            <w:col w:w="4706" w:space="3235"/>
            <w:col w:w="2509"/>
          </w:cols>
        </w:sectPr>
      </w:pPr>
    </w:p>
    <w:p w14:paraId="6423819A" w14:textId="30943E03" w:rsidR="00B46BB9" w:rsidRDefault="0037431A">
      <w:pPr>
        <w:pStyle w:val="Tekstpodstawowy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8FB4C" wp14:editId="26053378">
                <wp:simplePos x="0" y="0"/>
                <wp:positionH relativeFrom="page">
                  <wp:posOffset>2491105</wp:posOffset>
                </wp:positionH>
                <wp:positionV relativeFrom="page">
                  <wp:posOffset>42545</wp:posOffset>
                </wp:positionV>
                <wp:extent cx="50679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935" cy="0"/>
                        </a:xfrm>
                        <a:prstGeom prst="line">
                          <a:avLst/>
                        </a:prstGeom>
                        <a:noFill/>
                        <a:ln w="21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630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15pt,3.35pt" to="595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" strokeweight=".59333mm">
                <w10:wrap anchorx="page" anchory="page"/>
              </v:line>
            </w:pict>
          </mc:Fallback>
        </mc:AlternateContent>
      </w:r>
    </w:p>
    <w:p w14:paraId="412FEDA0" w14:textId="77777777" w:rsidR="00B46BB9" w:rsidRDefault="00B46BB9">
      <w:pPr>
        <w:pStyle w:val="Tekstpodstawowy"/>
        <w:rPr>
          <w:rFonts w:ascii="Arial"/>
          <w:i/>
          <w:sz w:val="20"/>
        </w:rPr>
      </w:pPr>
    </w:p>
    <w:p w14:paraId="66BBF68E" w14:textId="77777777" w:rsidR="00B46BB9" w:rsidRDefault="00B46BB9">
      <w:pPr>
        <w:pStyle w:val="Tekstpodstawowy"/>
        <w:rPr>
          <w:rFonts w:ascii="Arial"/>
          <w:i/>
          <w:sz w:val="20"/>
        </w:rPr>
      </w:pPr>
    </w:p>
    <w:p w14:paraId="53EE80D9" w14:textId="77777777" w:rsidR="00B46BB9" w:rsidRDefault="00B46BB9">
      <w:pPr>
        <w:pStyle w:val="Tekstpodstawowy"/>
        <w:spacing w:before="2"/>
        <w:rPr>
          <w:rFonts w:ascii="Arial"/>
          <w:i/>
          <w:sz w:val="16"/>
        </w:rPr>
      </w:pPr>
    </w:p>
    <w:p w14:paraId="7FD1E7CF" w14:textId="77777777" w:rsidR="00B46BB9" w:rsidRDefault="00000000">
      <w:pPr>
        <w:spacing w:before="89"/>
        <w:ind w:left="4208" w:right="3830"/>
        <w:jc w:val="center"/>
        <w:rPr>
          <w:b/>
          <w:sz w:val="27"/>
        </w:rPr>
      </w:pPr>
      <w:r>
        <w:rPr>
          <w:b/>
          <w:color w:val="1C1C1C"/>
          <w:sz w:val="27"/>
        </w:rPr>
        <w:t>ZAWIADOMIENIE</w:t>
      </w:r>
    </w:p>
    <w:p w14:paraId="32B6EE61" w14:textId="77777777" w:rsidR="00B46BB9" w:rsidRDefault="00000000">
      <w:pPr>
        <w:spacing w:before="175"/>
        <w:ind w:right="2650"/>
        <w:jc w:val="right"/>
        <w:rPr>
          <w:sz w:val="27"/>
        </w:rPr>
      </w:pPr>
      <w:r>
        <w:rPr>
          <w:color w:val="1C1C1C"/>
          <w:w w:val="105"/>
          <w:sz w:val="27"/>
        </w:rPr>
        <w:t>o czynnościach ustalenia przebiegu granic</w:t>
      </w:r>
    </w:p>
    <w:p w14:paraId="2EE3D495" w14:textId="77777777" w:rsidR="00B46BB9" w:rsidRDefault="00B46BB9">
      <w:pPr>
        <w:pStyle w:val="Tekstpodstawowy"/>
        <w:rPr>
          <w:sz w:val="30"/>
        </w:rPr>
      </w:pPr>
    </w:p>
    <w:p w14:paraId="755F2DB2" w14:textId="77777777" w:rsidR="00B46BB9" w:rsidRDefault="00B46BB9">
      <w:pPr>
        <w:pStyle w:val="Tekstpodstawowy"/>
        <w:rPr>
          <w:sz w:val="24"/>
        </w:rPr>
      </w:pPr>
    </w:p>
    <w:p w14:paraId="5F68F023" w14:textId="77777777" w:rsidR="00B46BB9" w:rsidRDefault="00000000">
      <w:pPr>
        <w:pStyle w:val="Tekstpodstawowy"/>
        <w:spacing w:before="1"/>
        <w:ind w:left="1269"/>
      </w:pPr>
      <w:r>
        <w:rPr>
          <w:color w:val="1C1C1C"/>
          <w:w w:val="105"/>
        </w:rPr>
        <w:t>Działając na podstawie zlecenia Sądu Rejonowego w Grójcu oraz na podstawie §31 i</w:t>
      </w:r>
    </w:p>
    <w:p w14:paraId="57D14CE6" w14:textId="77777777" w:rsidR="00B46BB9" w:rsidRDefault="00000000">
      <w:pPr>
        <w:pStyle w:val="Tekstpodstawowy"/>
        <w:spacing w:before="164"/>
        <w:ind w:left="1279"/>
      </w:pPr>
      <w:r>
        <w:rPr>
          <w:color w:val="1C1C1C"/>
          <w:w w:val="105"/>
        </w:rPr>
        <w:t>§32 rozporządzenia Ministra Rozwoju Pracy i Technologii z dnia 27 lipca 2021 r.</w:t>
      </w:r>
    </w:p>
    <w:p w14:paraId="137FF9C3" w14:textId="77777777" w:rsidR="00B46BB9" w:rsidRDefault="00000000">
      <w:pPr>
        <w:spacing w:before="150" w:line="364" w:lineRule="auto"/>
        <w:ind w:left="1269" w:right="138" w:hanging="13"/>
        <w:rPr>
          <w:b/>
          <w:sz w:val="26"/>
        </w:rPr>
      </w:pPr>
      <w:r>
        <w:rPr>
          <w:rFonts w:ascii="Arial" w:hAnsi="Arial"/>
          <w:i/>
          <w:color w:val="1C1C1C"/>
          <w:w w:val="105"/>
          <w:sz w:val="23"/>
        </w:rPr>
        <w:t>w</w:t>
      </w:r>
      <w:r>
        <w:rPr>
          <w:rFonts w:ascii="Arial" w:hAnsi="Arial"/>
          <w:i/>
          <w:color w:val="1C1C1C"/>
          <w:spacing w:val="-10"/>
          <w:w w:val="105"/>
          <w:sz w:val="23"/>
        </w:rPr>
        <w:t xml:space="preserve"> </w:t>
      </w:r>
      <w:r>
        <w:rPr>
          <w:i/>
          <w:color w:val="1C1C1C"/>
          <w:w w:val="105"/>
          <w:sz w:val="26"/>
        </w:rPr>
        <w:t>sprawie</w:t>
      </w:r>
      <w:r>
        <w:rPr>
          <w:i/>
          <w:color w:val="1C1C1C"/>
          <w:spacing w:val="-16"/>
          <w:w w:val="105"/>
          <w:sz w:val="26"/>
        </w:rPr>
        <w:t xml:space="preserve"> </w:t>
      </w:r>
      <w:r>
        <w:rPr>
          <w:i/>
          <w:color w:val="1C1C1C"/>
          <w:w w:val="105"/>
          <w:sz w:val="26"/>
        </w:rPr>
        <w:t>ewidencji</w:t>
      </w:r>
      <w:r>
        <w:rPr>
          <w:i/>
          <w:color w:val="1C1C1C"/>
          <w:spacing w:val="-21"/>
          <w:w w:val="105"/>
          <w:sz w:val="26"/>
        </w:rPr>
        <w:t xml:space="preserve"> </w:t>
      </w:r>
      <w:r>
        <w:rPr>
          <w:i/>
          <w:color w:val="1C1C1C"/>
          <w:w w:val="105"/>
          <w:sz w:val="26"/>
        </w:rPr>
        <w:t>gruntów</w:t>
      </w:r>
      <w:r>
        <w:rPr>
          <w:i/>
          <w:color w:val="1C1C1C"/>
          <w:spacing w:val="-12"/>
          <w:w w:val="105"/>
          <w:sz w:val="26"/>
        </w:rPr>
        <w:t xml:space="preserve"> </w:t>
      </w:r>
      <w:r>
        <w:rPr>
          <w:i/>
          <w:color w:val="1C1C1C"/>
          <w:w w:val="105"/>
          <w:sz w:val="26"/>
        </w:rPr>
        <w:t>i</w:t>
      </w:r>
      <w:r>
        <w:rPr>
          <w:i/>
          <w:color w:val="1C1C1C"/>
          <w:spacing w:val="-23"/>
          <w:w w:val="105"/>
          <w:sz w:val="26"/>
        </w:rPr>
        <w:t xml:space="preserve"> </w:t>
      </w:r>
      <w:r>
        <w:rPr>
          <w:i/>
          <w:color w:val="1C1C1C"/>
          <w:w w:val="105"/>
          <w:sz w:val="26"/>
        </w:rPr>
        <w:t>budynków</w:t>
      </w:r>
      <w:r>
        <w:rPr>
          <w:i/>
          <w:color w:val="1C1C1C"/>
          <w:spacing w:val="-15"/>
          <w:w w:val="105"/>
          <w:sz w:val="26"/>
        </w:rPr>
        <w:t xml:space="preserve"> </w:t>
      </w:r>
      <w:r>
        <w:rPr>
          <w:color w:val="1C1C1C"/>
          <w:w w:val="105"/>
          <w:sz w:val="25"/>
        </w:rPr>
        <w:t>(Dz.</w:t>
      </w:r>
      <w:r>
        <w:rPr>
          <w:color w:val="1C1C1C"/>
          <w:spacing w:val="-2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U.</w:t>
      </w:r>
      <w:r>
        <w:rPr>
          <w:color w:val="1C1C1C"/>
          <w:spacing w:val="-24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z</w:t>
      </w:r>
      <w:r>
        <w:rPr>
          <w:color w:val="1C1C1C"/>
          <w:spacing w:val="-22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2021</w:t>
      </w:r>
      <w:r>
        <w:rPr>
          <w:color w:val="1C1C1C"/>
          <w:spacing w:val="-17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r.,</w:t>
      </w:r>
      <w:r>
        <w:rPr>
          <w:color w:val="1C1C1C"/>
          <w:spacing w:val="-23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poz.</w:t>
      </w:r>
      <w:r>
        <w:rPr>
          <w:color w:val="1C1C1C"/>
          <w:spacing w:val="-21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1390)</w:t>
      </w:r>
      <w:r>
        <w:rPr>
          <w:color w:val="1C1C1C"/>
          <w:spacing w:val="18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 xml:space="preserve">zawiadamiam, że w dniu </w:t>
      </w:r>
      <w:r>
        <w:rPr>
          <w:b/>
          <w:color w:val="1C1C1C"/>
          <w:w w:val="105"/>
          <w:sz w:val="26"/>
        </w:rPr>
        <w:t xml:space="preserve">29.03.2023 r. o godz. 10.00 w Wilkowie Pierwszym gm. Błędów </w:t>
      </w:r>
      <w:r>
        <w:rPr>
          <w:color w:val="1C1C1C"/>
          <w:w w:val="105"/>
          <w:sz w:val="25"/>
        </w:rPr>
        <w:t xml:space="preserve">odbędzie się ustalenie przebiegu granic nieruchomości położonych w Wilkowie I, oznaczonych w ewidencji gruntów i budynków jako działka nr </w:t>
      </w:r>
      <w:r>
        <w:rPr>
          <w:b/>
          <w:color w:val="1C1C1C"/>
          <w:w w:val="105"/>
          <w:sz w:val="26"/>
        </w:rPr>
        <w:t xml:space="preserve">220 (droga gminna) </w:t>
      </w:r>
      <w:r>
        <w:rPr>
          <w:color w:val="1C1C1C"/>
          <w:w w:val="105"/>
          <w:sz w:val="25"/>
        </w:rPr>
        <w:t xml:space="preserve">z działkami sąsiednimi: </w:t>
      </w:r>
      <w:r>
        <w:rPr>
          <w:b/>
          <w:color w:val="1C1C1C"/>
          <w:w w:val="105"/>
          <w:sz w:val="26"/>
        </w:rPr>
        <w:t>147,</w:t>
      </w:r>
      <w:r>
        <w:rPr>
          <w:b/>
          <w:color w:val="1C1C1C"/>
          <w:spacing w:val="38"/>
          <w:w w:val="105"/>
          <w:sz w:val="26"/>
        </w:rPr>
        <w:t xml:space="preserve"> </w:t>
      </w:r>
      <w:r>
        <w:rPr>
          <w:b/>
          <w:color w:val="1C1C1C"/>
          <w:w w:val="105"/>
          <w:sz w:val="26"/>
        </w:rPr>
        <w:t>202,212,213,214,215,217,218,219,227,230,233,</w:t>
      </w:r>
    </w:p>
    <w:p w14:paraId="2F9D5807" w14:textId="77777777" w:rsidR="00B46BB9" w:rsidRDefault="00000000">
      <w:pPr>
        <w:spacing w:line="293" w:lineRule="exact"/>
        <w:ind w:left="1267"/>
        <w:rPr>
          <w:b/>
          <w:sz w:val="26"/>
        </w:rPr>
      </w:pPr>
      <w:r>
        <w:rPr>
          <w:b/>
          <w:color w:val="1C1C1C"/>
          <w:sz w:val="26"/>
        </w:rPr>
        <w:t>236, 238, 240, 244/1, 246/1, 246/2, 247, 248, 249, 250.</w:t>
      </w:r>
    </w:p>
    <w:p w14:paraId="4246C222" w14:textId="77777777" w:rsidR="00B46BB9" w:rsidRDefault="00000000">
      <w:pPr>
        <w:pStyle w:val="Tekstpodstawowy"/>
        <w:spacing w:before="157" w:line="372" w:lineRule="auto"/>
        <w:ind w:left="1266" w:firstLine="51"/>
      </w:pPr>
      <w:r>
        <w:rPr>
          <w:color w:val="1C1C1C"/>
          <w:w w:val="105"/>
        </w:rPr>
        <w:t>W związku z powyższym proszę właścicieli, posiadaczy, władających oraz osoby mogące wykazać swój tytuł prawny do wymienionych nieruchomości do wzięcia udziału w opisanych czynnościach ustalenia przebiegu granic.</w:t>
      </w:r>
    </w:p>
    <w:p w14:paraId="2F927808" w14:textId="77777777" w:rsidR="00B46BB9" w:rsidRDefault="00000000">
      <w:pPr>
        <w:pStyle w:val="Tekstpodstawowy"/>
        <w:spacing w:before="4"/>
        <w:ind w:left="1267"/>
      </w:pPr>
      <w:r>
        <w:rPr>
          <w:color w:val="1C1C1C"/>
          <w:w w:val="105"/>
        </w:rPr>
        <w:t>Informuję, że zgodnie z§ 32 ust.2 p.3) powołanego rozporządzenia:</w:t>
      </w:r>
    </w:p>
    <w:p w14:paraId="2113910B" w14:textId="77777777" w:rsidR="00B46BB9" w:rsidRDefault="00000000">
      <w:pPr>
        <w:pStyle w:val="Nagwek1"/>
        <w:numPr>
          <w:ilvl w:val="0"/>
          <w:numId w:val="1"/>
        </w:numPr>
        <w:tabs>
          <w:tab w:val="left" w:pos="2286"/>
        </w:tabs>
        <w:spacing w:before="155" w:line="357" w:lineRule="auto"/>
        <w:ind w:firstLine="706"/>
      </w:pPr>
      <w:r>
        <w:rPr>
          <w:color w:val="1C1C1C"/>
        </w:rPr>
        <w:t>osoba biorąca udział w czynnościach powinna posiadać dokument umożliwiający ustalenie tożsamości oraz dokumenty pozwalające na stwierdzenie tytułu prawnego do wymienionych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nieruchomości</w:t>
      </w:r>
    </w:p>
    <w:p w14:paraId="06B00713" w14:textId="77777777" w:rsidR="00B46BB9" w:rsidRDefault="00000000">
      <w:pPr>
        <w:pStyle w:val="Akapitzlist"/>
        <w:numPr>
          <w:ilvl w:val="0"/>
          <w:numId w:val="1"/>
        </w:numPr>
        <w:tabs>
          <w:tab w:val="left" w:pos="2164"/>
        </w:tabs>
        <w:spacing w:line="362" w:lineRule="auto"/>
        <w:ind w:left="1266" w:firstLine="708"/>
        <w:rPr>
          <w:i/>
          <w:sz w:val="26"/>
        </w:rPr>
      </w:pPr>
      <w:r>
        <w:rPr>
          <w:i/>
          <w:color w:val="1C1C1C"/>
          <w:sz w:val="26"/>
        </w:rPr>
        <w:t>nieusprawiedliwione niewzięcie udziału w czynnościach ustalenia przebiegu granic nie stanowi przeszkody do ich</w:t>
      </w:r>
      <w:r>
        <w:rPr>
          <w:i/>
          <w:color w:val="1C1C1C"/>
          <w:spacing w:val="20"/>
          <w:sz w:val="26"/>
        </w:rPr>
        <w:t xml:space="preserve"> </w:t>
      </w:r>
      <w:r>
        <w:rPr>
          <w:i/>
          <w:color w:val="1C1C1C"/>
          <w:sz w:val="26"/>
        </w:rPr>
        <w:t>przeprowadzenia.</w:t>
      </w:r>
    </w:p>
    <w:p w14:paraId="2A0C2099" w14:textId="77777777" w:rsidR="00B46BB9" w:rsidRDefault="00B46BB9">
      <w:pPr>
        <w:pStyle w:val="Tekstpodstawowy"/>
        <w:spacing w:before="4"/>
        <w:rPr>
          <w:i/>
          <w:sz w:val="39"/>
        </w:rPr>
      </w:pPr>
    </w:p>
    <w:p w14:paraId="2E4B4601" w14:textId="77777777" w:rsidR="00B46BB9" w:rsidRDefault="00000000">
      <w:pPr>
        <w:ind w:right="2615"/>
        <w:jc w:val="right"/>
        <w:rPr>
          <w:i/>
          <w:sz w:val="26"/>
        </w:rPr>
      </w:pPr>
      <w:r>
        <w:rPr>
          <w:i/>
          <w:color w:val="1C1C1C"/>
          <w:sz w:val="26"/>
        </w:rPr>
        <w:t>Jerzy Bednarz</w:t>
      </w:r>
    </w:p>
    <w:p w14:paraId="18C96597" w14:textId="77777777" w:rsidR="00B46BB9" w:rsidRDefault="00000000">
      <w:pPr>
        <w:pStyle w:val="Tekstpodstawowy"/>
        <w:spacing w:before="2"/>
        <w:rPr>
          <w:i/>
          <w:sz w:val="2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E5D7F2F" wp14:editId="53E4E931">
            <wp:simplePos x="0" y="0"/>
            <wp:positionH relativeFrom="page">
              <wp:posOffset>4713702</wp:posOffset>
            </wp:positionH>
            <wp:positionV relativeFrom="paragraph">
              <wp:posOffset>187160</wp:posOffset>
            </wp:positionV>
            <wp:extent cx="762359" cy="3169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59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6BB9">
      <w:type w:val="continuous"/>
      <w:pgSz w:w="11910" w:h="16830"/>
      <w:pgMar w:top="40" w:right="146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D6C"/>
    <w:multiLevelType w:val="hybridMultilevel"/>
    <w:tmpl w:val="D6EA6074"/>
    <w:lvl w:ilvl="0" w:tplc="A236A10E">
      <w:numFmt w:val="bullet"/>
      <w:lvlText w:val="-"/>
      <w:lvlJc w:val="left"/>
      <w:pPr>
        <w:ind w:left="1268" w:hanging="311"/>
      </w:pPr>
      <w:rPr>
        <w:rFonts w:ascii="Times New Roman" w:eastAsia="Times New Roman" w:hAnsi="Times New Roman" w:cs="Times New Roman" w:hint="default"/>
        <w:color w:val="1C1C1C"/>
        <w:w w:val="104"/>
        <w:sz w:val="26"/>
        <w:szCs w:val="26"/>
      </w:rPr>
    </w:lvl>
    <w:lvl w:ilvl="1" w:tplc="45E4B096">
      <w:numFmt w:val="bullet"/>
      <w:lvlText w:val="•"/>
      <w:lvlJc w:val="left"/>
      <w:pPr>
        <w:ind w:left="2178" w:hanging="311"/>
      </w:pPr>
      <w:rPr>
        <w:rFonts w:hint="default"/>
      </w:rPr>
    </w:lvl>
    <w:lvl w:ilvl="2" w:tplc="F8AEC308">
      <w:numFmt w:val="bullet"/>
      <w:lvlText w:val="•"/>
      <w:lvlJc w:val="left"/>
      <w:pPr>
        <w:ind w:left="3096" w:hanging="311"/>
      </w:pPr>
      <w:rPr>
        <w:rFonts w:hint="default"/>
      </w:rPr>
    </w:lvl>
    <w:lvl w:ilvl="3" w:tplc="91E452B2">
      <w:numFmt w:val="bullet"/>
      <w:lvlText w:val="•"/>
      <w:lvlJc w:val="left"/>
      <w:pPr>
        <w:ind w:left="4015" w:hanging="311"/>
      </w:pPr>
      <w:rPr>
        <w:rFonts w:hint="default"/>
      </w:rPr>
    </w:lvl>
    <w:lvl w:ilvl="4" w:tplc="F27E71C2">
      <w:numFmt w:val="bullet"/>
      <w:lvlText w:val="•"/>
      <w:lvlJc w:val="left"/>
      <w:pPr>
        <w:ind w:left="4933" w:hanging="311"/>
      </w:pPr>
      <w:rPr>
        <w:rFonts w:hint="default"/>
      </w:rPr>
    </w:lvl>
    <w:lvl w:ilvl="5" w:tplc="BC3282B6">
      <w:numFmt w:val="bullet"/>
      <w:lvlText w:val="•"/>
      <w:lvlJc w:val="left"/>
      <w:pPr>
        <w:ind w:left="5852" w:hanging="311"/>
      </w:pPr>
      <w:rPr>
        <w:rFonts w:hint="default"/>
      </w:rPr>
    </w:lvl>
    <w:lvl w:ilvl="6" w:tplc="14928EA8">
      <w:numFmt w:val="bullet"/>
      <w:lvlText w:val="•"/>
      <w:lvlJc w:val="left"/>
      <w:pPr>
        <w:ind w:left="6770" w:hanging="311"/>
      </w:pPr>
      <w:rPr>
        <w:rFonts w:hint="default"/>
      </w:rPr>
    </w:lvl>
    <w:lvl w:ilvl="7" w:tplc="3AFE9538">
      <w:numFmt w:val="bullet"/>
      <w:lvlText w:val="•"/>
      <w:lvlJc w:val="left"/>
      <w:pPr>
        <w:ind w:left="7688" w:hanging="311"/>
      </w:pPr>
      <w:rPr>
        <w:rFonts w:hint="default"/>
      </w:rPr>
    </w:lvl>
    <w:lvl w:ilvl="8" w:tplc="101C4DE2">
      <w:numFmt w:val="bullet"/>
      <w:lvlText w:val="•"/>
      <w:lvlJc w:val="left"/>
      <w:pPr>
        <w:ind w:left="8607" w:hanging="311"/>
      </w:pPr>
      <w:rPr>
        <w:rFonts w:hint="default"/>
      </w:rPr>
    </w:lvl>
  </w:abstractNum>
  <w:num w:numId="1" w16cid:durableId="128832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B9"/>
    <w:rsid w:val="0037431A"/>
    <w:rsid w:val="003E28E7"/>
    <w:rsid w:val="00B46BB9"/>
    <w:rsid w:val="00D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EE6E"/>
  <w15:docId w15:val="{A094FF25-382E-4954-BB5B-D5297C97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right="103"/>
      <w:jc w:val="both"/>
      <w:outlineLvl w:val="0"/>
    </w:pPr>
    <w:rPr>
      <w:i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9"/>
      <w:ind w:left="1266" w:right="103" w:firstLine="7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Woźniak</dc:creator>
  <cp:lastModifiedBy>Małgorzata Woźniak</cp:lastModifiedBy>
  <cp:revision>2</cp:revision>
  <dcterms:created xsi:type="dcterms:W3CDTF">2023-03-06T14:54:00Z</dcterms:created>
  <dcterms:modified xsi:type="dcterms:W3CDTF">2023-03-06T14:54:00Z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2023-03-06T00:00:00Z</vt:filetime>
  </property>
</Properties>
</file>